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77B2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Environment (Wales) Act 2016 Part 1 –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Section 6</w:t>
      </w:r>
    </w:p>
    <w:p w14:paraId="0CF3A449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Biodiversity and Resilience of Ecosystems Duty</w:t>
      </w:r>
    </w:p>
    <w:p w14:paraId="79F235F8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0D66CD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2D9C1F" w14:textId="77777777" w:rsidR="003671AE" w:rsidRPr="003B789B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Reporting on Section 6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Reporting Template</w:t>
      </w: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Town and Community Councils</w:t>
      </w:r>
    </w:p>
    <w:p w14:paraId="35CAF5F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4B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8E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8E5435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E557C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08EA7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B93046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7DD20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F0611D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CA83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31C252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9C9E62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8FBE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288A43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F1115F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D8591B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8339DD3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3A960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9A2D04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6BD94D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2040A9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0183BAB" w14:textId="77777777" w:rsidR="003671AE" w:rsidRPr="002B3AAE" w:rsidRDefault="003671AE" w:rsidP="003671AE">
      <w:pPr>
        <w:spacing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2B3AAE"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  <w:t xml:space="preserve"> </w:t>
      </w:r>
    </w:p>
    <w:p w14:paraId="0C6BB7E0" w14:textId="59CE015A" w:rsidR="003671AE" w:rsidRDefault="003671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F16B209" w14:textId="34B8E307" w:rsidR="002B3AAE" w:rsidRDefault="002B3A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33EA62A1" w14:textId="77777777" w:rsidR="002B3AAE" w:rsidRDefault="002B3A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B79C3AD" w14:textId="77777777" w:rsidR="003671AE" w:rsidRDefault="003671AE" w:rsidP="003671AE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7E524532" w14:textId="77777777" w:rsidTr="006A501E">
        <w:tc>
          <w:tcPr>
            <w:tcW w:w="9322" w:type="dxa"/>
          </w:tcPr>
          <w:p w14:paraId="29547946" w14:textId="77777777" w:rsidR="003671AE" w:rsidRPr="002D7E92" w:rsidRDefault="003671AE" w:rsidP="00880C22">
            <w:pPr>
              <w:spacing w:after="160" w:line="259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Environment (Wales) Act 2016 Part 1 - Section 6</w:t>
            </w:r>
          </w:p>
          <w:p w14:paraId="28BD3977" w14:textId="77777777" w:rsidR="003671AE" w:rsidRPr="002D7E92" w:rsidRDefault="003671AE" w:rsidP="00880C22">
            <w:pPr>
              <w:spacing w:after="160" w:line="259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The Biodiversity and Resilience of Ecosystems Duty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Report 20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>22</w:t>
            </w:r>
          </w:p>
        </w:tc>
      </w:tr>
      <w:tr w:rsidR="003671AE" w:rsidRPr="002D7E92" w14:paraId="6281FE34" w14:textId="77777777" w:rsidTr="006A501E">
        <w:tc>
          <w:tcPr>
            <w:tcW w:w="9322" w:type="dxa"/>
          </w:tcPr>
          <w:p w14:paraId="35358D7F" w14:textId="30FA92C6" w:rsidR="003671AE" w:rsidRPr="00C517B6" w:rsidRDefault="006240B4" w:rsidP="00C517B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7B6">
              <w:rPr>
                <w:rFonts w:ascii="Arial" w:hAnsi="Arial" w:cs="Arial"/>
                <w:b/>
                <w:bCs/>
                <w:sz w:val="24"/>
                <w:szCs w:val="24"/>
              </w:rPr>
              <w:t>CEIRI</w:t>
            </w:r>
            <w:r w:rsidR="00680183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517B6">
              <w:rPr>
                <w:rFonts w:ascii="Arial" w:hAnsi="Arial" w:cs="Arial"/>
                <w:b/>
                <w:bCs/>
                <w:sz w:val="24"/>
                <w:szCs w:val="24"/>
              </w:rPr>
              <w:t>G UCHA</w:t>
            </w:r>
            <w:r w:rsidR="00680183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C517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 COUNCIL</w:t>
            </w:r>
          </w:p>
        </w:tc>
      </w:tr>
      <w:tr w:rsidR="003671AE" w:rsidRPr="002D7E92" w14:paraId="046C2772" w14:textId="77777777" w:rsidTr="006A501E">
        <w:tc>
          <w:tcPr>
            <w:tcW w:w="9322" w:type="dxa"/>
          </w:tcPr>
          <w:p w14:paraId="3001EC28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Introduction and Context</w:t>
            </w:r>
          </w:p>
          <w:p w14:paraId="2F1CFEEB" w14:textId="17DD7EC3" w:rsidR="00C517B6" w:rsidRDefault="00880C22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Ceiriog</w:t>
            </w:r>
            <w:r w:rsidR="006240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240B4">
              <w:rPr>
                <w:rFonts w:ascii="Arial" w:hAnsi="Arial" w:cs="Arial"/>
                <w:sz w:val="24"/>
                <w:szCs w:val="24"/>
              </w:rPr>
              <w:t>Ucha</w:t>
            </w:r>
            <w:r w:rsidR="00680183">
              <w:rPr>
                <w:rFonts w:ascii="Arial" w:hAnsi="Arial" w:cs="Arial"/>
                <w:sz w:val="24"/>
                <w:szCs w:val="24"/>
              </w:rPr>
              <w:t>f</w:t>
            </w:r>
            <w:proofErr w:type="spellEnd"/>
            <w:r w:rsidR="006240B4">
              <w:rPr>
                <w:rFonts w:ascii="Arial" w:hAnsi="Arial" w:cs="Arial"/>
                <w:sz w:val="24"/>
                <w:szCs w:val="24"/>
              </w:rPr>
              <w:t xml:space="preserve"> is one of the smaller Community Councils within the administration of Wrexham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County Borough Council. Its </w:t>
            </w:r>
            <w:r w:rsidR="00EE4C51">
              <w:rPr>
                <w:rFonts w:ascii="Arial" w:hAnsi="Arial" w:cs="Arial"/>
                <w:sz w:val="24"/>
                <w:szCs w:val="24"/>
              </w:rPr>
              <w:t>geography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73A">
              <w:rPr>
                <w:rFonts w:ascii="Arial" w:hAnsi="Arial" w:cs="Arial"/>
                <w:sz w:val="24"/>
                <w:szCs w:val="24"/>
              </w:rPr>
              <w:t>includes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two wards</w:t>
            </w:r>
            <w:r w:rsidR="0010373A">
              <w:rPr>
                <w:rFonts w:ascii="Arial" w:hAnsi="Arial" w:cs="Arial"/>
                <w:sz w:val="24"/>
                <w:szCs w:val="24"/>
              </w:rPr>
              <w:t>,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C097F">
              <w:rPr>
                <w:rFonts w:ascii="Arial" w:hAnsi="Arial" w:cs="Arial"/>
                <w:sz w:val="24"/>
                <w:szCs w:val="24"/>
              </w:rPr>
              <w:t>Llanarmon</w:t>
            </w:r>
            <w:proofErr w:type="spellEnd"/>
            <w:r w:rsidR="003C097F">
              <w:rPr>
                <w:rFonts w:ascii="Arial" w:hAnsi="Arial" w:cs="Arial"/>
                <w:sz w:val="24"/>
                <w:szCs w:val="24"/>
              </w:rPr>
              <w:t xml:space="preserve"> DC and </w:t>
            </w:r>
            <w:proofErr w:type="spellStart"/>
            <w:r w:rsidR="00C517B6">
              <w:rPr>
                <w:rFonts w:ascii="Arial" w:hAnsi="Arial" w:cs="Arial"/>
                <w:sz w:val="24"/>
                <w:szCs w:val="24"/>
              </w:rPr>
              <w:t>Lan</w:t>
            </w:r>
            <w:r w:rsidR="00CB1B5B">
              <w:rPr>
                <w:rFonts w:ascii="Arial" w:hAnsi="Arial" w:cs="Arial"/>
                <w:sz w:val="24"/>
                <w:szCs w:val="24"/>
              </w:rPr>
              <w:t>gadwaldr</w:t>
            </w:r>
            <w:proofErr w:type="spellEnd"/>
            <w:r w:rsidR="00EE4C51">
              <w:rPr>
                <w:rFonts w:ascii="Arial" w:hAnsi="Arial" w:cs="Arial"/>
                <w:sz w:val="24"/>
                <w:szCs w:val="24"/>
              </w:rPr>
              <w:t xml:space="preserve"> and there are 8 Councillors. </w:t>
            </w:r>
          </w:p>
          <w:p w14:paraId="0443B0D6" w14:textId="5B73B75A" w:rsidR="00C517B6" w:rsidRDefault="00C517B6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10A6E1" wp14:editId="3088F13E">
                  <wp:extent cx="5600700" cy="2501900"/>
                  <wp:effectExtent l="0" t="0" r="0" b="0"/>
                  <wp:docPr id="1" name="Picture 1" descr="Llanarmon Dyffryn Ceiriog photos, maps, books, mem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lanarmon Dyffryn Ceiriog photos, maps, books, mem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5D943" w14:textId="5983B93E" w:rsidR="006240B4" w:rsidRDefault="00C517B6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landscape is given over to farming – principally sheep. The Precept is r</w:t>
            </w:r>
            <w:r w:rsidR="00880C2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80C2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ed from 161 houses with less than </w:t>
            </w:r>
            <w:r w:rsidR="0010373A">
              <w:rPr>
                <w:rFonts w:ascii="Arial" w:hAnsi="Arial" w:cs="Arial"/>
                <w:sz w:val="24"/>
                <w:szCs w:val="24"/>
              </w:rPr>
              <w:t>1000 residents</w:t>
            </w:r>
            <w:r w:rsidR="00880C2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67F17A" w14:textId="730094F9" w:rsidR="00880C22" w:rsidRDefault="00880C22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owns no land or property. We rent our meeting room.</w:t>
            </w:r>
          </w:p>
          <w:p w14:paraId="2F911535" w14:textId="4C320E43" w:rsidR="00880C22" w:rsidRDefault="00880C22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believes that it does not own either Graveyard or new Cemetery a</w:t>
            </w:r>
            <w:r w:rsidR="003B6632">
              <w:rPr>
                <w:rFonts w:ascii="Arial" w:hAnsi="Arial" w:cs="Arial"/>
                <w:sz w:val="24"/>
                <w:szCs w:val="24"/>
              </w:rPr>
              <w:t>lthough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is the subject of enquiry. The Council does administer the </w:t>
            </w:r>
            <w:r w:rsidR="003B6632">
              <w:rPr>
                <w:rFonts w:ascii="Arial" w:hAnsi="Arial" w:cs="Arial"/>
                <w:sz w:val="24"/>
                <w:szCs w:val="24"/>
              </w:rPr>
              <w:t>Cemetery</w:t>
            </w:r>
            <w:r>
              <w:rPr>
                <w:rFonts w:ascii="Arial" w:hAnsi="Arial" w:cs="Arial"/>
                <w:sz w:val="24"/>
                <w:szCs w:val="24"/>
              </w:rPr>
              <w:t xml:space="preserve"> on behalf of Wrexham CBC.</w:t>
            </w:r>
          </w:p>
          <w:p w14:paraId="0EAD837B" w14:textId="35740A51" w:rsidR="00880C22" w:rsidRDefault="00880C22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Council seeks to enhance </w:t>
            </w:r>
            <w:r w:rsidR="00075B9B">
              <w:rPr>
                <w:rFonts w:ascii="Arial" w:hAnsi="Arial" w:cs="Arial"/>
                <w:sz w:val="24"/>
                <w:szCs w:val="24"/>
              </w:rPr>
              <w:t>biodiversity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resilience of its ecosystems in </w:t>
            </w:r>
            <w:r w:rsidR="00AF3F49">
              <w:rPr>
                <w:rFonts w:ascii="Arial" w:hAnsi="Arial" w:cs="Arial"/>
                <w:sz w:val="24"/>
                <w:szCs w:val="24"/>
              </w:rPr>
              <w:t xml:space="preserve">some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following ways </w:t>
            </w:r>
            <w:r w:rsidR="003B6632">
              <w:rPr>
                <w:rFonts w:ascii="Arial" w:hAnsi="Arial" w:cs="Arial"/>
                <w:sz w:val="24"/>
                <w:szCs w:val="24"/>
              </w:rPr>
              <w:t>and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reflected within its </w:t>
            </w:r>
            <w:r w:rsidR="003B66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naugural Action Plan (2023)</w:t>
            </w:r>
            <w:r w:rsidR="00AF3F4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3DA3D5" w14:textId="4A87B612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Talking with </w:t>
            </w:r>
            <w:r w:rsidR="0010373A">
              <w:rPr>
                <w:rFonts w:ascii="Arial" w:hAnsi="Arial" w:cs="Arial"/>
                <w:sz w:val="24"/>
                <w:szCs w:val="24"/>
              </w:rPr>
              <w:t>landowners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land users;</w:t>
            </w:r>
          </w:p>
          <w:p w14:paraId="49DF945B" w14:textId="6B2DB9F4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Being aware of the impact of development;</w:t>
            </w:r>
          </w:p>
          <w:p w14:paraId="5443AD1E" w14:textId="48A0E94E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Liaising with Conservation and Environmental partners;</w:t>
            </w:r>
          </w:p>
          <w:p w14:paraId="60233C23" w14:textId="4865FB63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traffic;</w:t>
            </w:r>
          </w:p>
          <w:p w14:paraId="0B69F3B6" w14:textId="723189D6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Developing safer transport routes within the Valley</w:t>
            </w:r>
            <w:r w:rsidR="003B663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4DC3E11" w14:textId="5B5BF777" w:rsidR="00AF3F49" w:rsidRDefault="00AF3F49" w:rsidP="00AF3F4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funding of initiatives linked to the </w:t>
            </w:r>
            <w:r w:rsidR="003B6632">
              <w:rPr>
                <w:rFonts w:ascii="Arial" w:hAnsi="Arial" w:cs="Arial"/>
                <w:sz w:val="24"/>
                <w:szCs w:val="24"/>
              </w:rPr>
              <w:t>Environment.</w:t>
            </w:r>
          </w:p>
          <w:p w14:paraId="3EC42331" w14:textId="77777777" w:rsidR="00AF3F49" w:rsidRPr="00AF3F49" w:rsidRDefault="00AF3F49" w:rsidP="00AF3F4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393335A" w14:textId="2125FCB5" w:rsidR="00C517B6" w:rsidRDefault="00C517B6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C6CA4" w14:textId="79C0B4F4" w:rsidR="00C517B6" w:rsidRDefault="00C517B6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0EAEBA0" w14:textId="7F5E440B" w:rsidR="00C517B6" w:rsidRDefault="00C517B6" w:rsidP="006240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48F5A" w14:textId="66B5716A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:rsidRPr="002D7E92" w14:paraId="5413ADA7" w14:textId="77777777" w:rsidTr="006A501E">
        <w:tc>
          <w:tcPr>
            <w:tcW w:w="9322" w:type="dxa"/>
          </w:tcPr>
          <w:p w14:paraId="31062705" w14:textId="22515C7A" w:rsidR="003671AE" w:rsidRPr="002D7E92" w:rsidRDefault="003671AE" w:rsidP="00CD5F4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Action Report</w:t>
            </w:r>
            <w:r w:rsidR="00AF3F49">
              <w:rPr>
                <w:rFonts w:ascii="Arial" w:hAnsi="Arial" w:cs="Arial"/>
                <w:b/>
                <w:sz w:val="24"/>
                <w:szCs w:val="24"/>
              </w:rPr>
              <w:t xml:space="preserve"> for 2023-2024</w:t>
            </w:r>
          </w:p>
        </w:tc>
      </w:tr>
    </w:tbl>
    <w:tbl>
      <w:tblPr>
        <w:tblStyle w:val="TableGrid1"/>
        <w:tblW w:w="9327" w:type="dxa"/>
        <w:tblLook w:val="04A0" w:firstRow="1" w:lastRow="0" w:firstColumn="1" w:lastColumn="0" w:noHBand="0" w:noVBand="1"/>
      </w:tblPr>
      <w:tblGrid>
        <w:gridCol w:w="2660"/>
        <w:gridCol w:w="4536"/>
        <w:gridCol w:w="2131"/>
      </w:tblGrid>
      <w:tr w:rsidR="003671AE" w14:paraId="6EB52D92" w14:textId="77777777" w:rsidTr="006A501E">
        <w:trPr>
          <w:trHeight w:val="642"/>
        </w:trPr>
        <w:tc>
          <w:tcPr>
            <w:tcW w:w="2660" w:type="dxa"/>
          </w:tcPr>
          <w:p w14:paraId="11F9BA69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Action carried out to: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4710059" w14:textId="77777777" w:rsidR="003671AE" w:rsidRPr="00E34779" w:rsidRDefault="003671AE" w:rsidP="006A501E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2131" w:type="dxa"/>
          </w:tcPr>
          <w:p w14:paraId="6E2724A1" w14:textId="77777777" w:rsidR="003671AE" w:rsidRPr="009F709A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9F709A">
              <w:rPr>
                <w:rFonts w:ascii="Arial" w:hAnsi="Arial" w:cs="Arial"/>
                <w:sz w:val="24"/>
                <w:szCs w:val="24"/>
              </w:rPr>
              <w:t>Monitored by:</w:t>
            </w:r>
          </w:p>
        </w:tc>
      </w:tr>
      <w:tr w:rsidR="003671AE" w14:paraId="69AE0809" w14:textId="77777777" w:rsidTr="006A501E">
        <w:trPr>
          <w:trHeight w:val="856"/>
        </w:trPr>
        <w:tc>
          <w:tcPr>
            <w:tcW w:w="2660" w:type="dxa"/>
          </w:tcPr>
          <w:p w14:paraId="37A22842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536" w:type="dxa"/>
          </w:tcPr>
          <w:p w14:paraId="0C8E5CF7" w14:textId="3486D46C" w:rsidR="003671AE" w:rsidRPr="006240B4" w:rsidRDefault="006240B4" w:rsidP="006240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240B4">
              <w:rPr>
                <w:rFonts w:ascii="Arial" w:hAnsi="Arial" w:cs="Arial"/>
                <w:sz w:val="24"/>
                <w:szCs w:val="24"/>
              </w:rPr>
              <w:t xml:space="preserve">To undertake an audit of the Graveyard and Cemetery to catalogue flora, </w:t>
            </w:r>
            <w:r w:rsidR="00680183" w:rsidRPr="006240B4">
              <w:rPr>
                <w:rFonts w:ascii="Arial" w:hAnsi="Arial" w:cs="Arial"/>
                <w:sz w:val="24"/>
                <w:szCs w:val="24"/>
              </w:rPr>
              <w:t>fauna,</w:t>
            </w:r>
            <w:r w:rsidRPr="006240B4">
              <w:rPr>
                <w:rFonts w:ascii="Arial" w:hAnsi="Arial" w:cs="Arial"/>
                <w:sz w:val="24"/>
                <w:szCs w:val="24"/>
              </w:rPr>
              <w:t xml:space="preserve"> and wildlife. </w:t>
            </w:r>
          </w:p>
          <w:p w14:paraId="36A6C155" w14:textId="77777777" w:rsidR="006240B4" w:rsidRDefault="006240B4" w:rsidP="006240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240B4">
              <w:rPr>
                <w:rFonts w:ascii="Arial" w:hAnsi="Arial" w:cs="Arial"/>
                <w:sz w:val="24"/>
                <w:szCs w:val="24"/>
              </w:rPr>
              <w:t>To participate within the ‘</w:t>
            </w:r>
            <w:r w:rsidRPr="006240B4">
              <w:rPr>
                <w:rFonts w:ascii="Arial" w:hAnsi="Arial" w:cs="Arial"/>
                <w:i/>
                <w:iCs/>
                <w:sz w:val="24"/>
                <w:szCs w:val="24"/>
              </w:rPr>
              <w:t>God’s Acr</w:t>
            </w:r>
            <w:r w:rsidRPr="006240B4">
              <w:rPr>
                <w:rFonts w:ascii="Arial" w:hAnsi="Arial" w:cs="Arial"/>
                <w:sz w:val="24"/>
                <w:szCs w:val="24"/>
              </w:rPr>
              <w:t>e’ project and to use the framework provided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to collate and present information</w:t>
            </w:r>
            <w:r w:rsidR="003B66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EF4D4E" w14:textId="4F7F85BC" w:rsidR="00CD5F4E" w:rsidRPr="006240B4" w:rsidRDefault="00CD5F4E" w:rsidP="006240B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increase awareness through posters for Ysgol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Llanarmon</w:t>
            </w:r>
            <w:proofErr w:type="spellEnd"/>
          </w:p>
        </w:tc>
        <w:tc>
          <w:tcPr>
            <w:tcW w:w="2131" w:type="dxa"/>
          </w:tcPr>
          <w:p w14:paraId="1175A7AB" w14:textId="6C017C7E" w:rsidR="003671AE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God’s Acre Project team</w:t>
            </w:r>
          </w:p>
        </w:tc>
      </w:tr>
      <w:tr w:rsidR="003671AE" w14:paraId="239AB941" w14:textId="77777777" w:rsidTr="006A501E">
        <w:trPr>
          <w:trHeight w:val="942"/>
        </w:trPr>
        <w:tc>
          <w:tcPr>
            <w:tcW w:w="2660" w:type="dxa"/>
          </w:tcPr>
          <w:p w14:paraId="547734F5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536" w:type="dxa"/>
          </w:tcPr>
          <w:p w14:paraId="39F31219" w14:textId="3D5CBBA5" w:rsidR="003671AE" w:rsidRDefault="006240B4" w:rsidP="006240B4">
            <w:pPr>
              <w:pStyle w:val="ListParagraph"/>
              <w:numPr>
                <w:ilvl w:val="0"/>
                <w:numId w:val="26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the 10</w:t>
            </w:r>
            <w:r w:rsidRPr="006240B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2023 the Council facilitated a public meeting for representatives </w:t>
            </w:r>
            <w:r w:rsidR="003B6632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 Resources Wales to present and discuss with members of the public and </w:t>
            </w:r>
            <w:r w:rsidR="003C097F">
              <w:rPr>
                <w:rFonts w:ascii="Arial" w:hAnsi="Arial" w:cs="Arial"/>
                <w:sz w:val="24"/>
                <w:szCs w:val="24"/>
              </w:rPr>
              <w:t>landowners</w:t>
            </w:r>
            <w:r w:rsidR="003B6632">
              <w:rPr>
                <w:rFonts w:ascii="Arial" w:hAnsi="Arial" w:cs="Arial"/>
                <w:sz w:val="24"/>
                <w:szCs w:val="24"/>
              </w:rPr>
              <w:t xml:space="preserve"> its work on the Afon Ceiriog</w:t>
            </w:r>
            <w:r>
              <w:rPr>
                <w:rFonts w:ascii="Arial" w:hAnsi="Arial" w:cs="Arial"/>
                <w:sz w:val="24"/>
                <w:szCs w:val="24"/>
              </w:rPr>
              <w:t>. Th</w:t>
            </w:r>
            <w:r w:rsidR="003B6632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is a vital life-force flowing through our administration. It provides a critical habitat which requires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management.</w:t>
            </w:r>
          </w:p>
          <w:p w14:paraId="3237E855" w14:textId="628DEE15" w:rsidR="006240B4" w:rsidRDefault="006240B4" w:rsidP="006240B4">
            <w:pPr>
              <w:pStyle w:val="ListParagraph"/>
              <w:numPr>
                <w:ilvl w:val="0"/>
                <w:numId w:val="26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has committed to facilitating a further Public Meeting in January 2024 to review the progress made by NRW</w:t>
            </w:r>
            <w:r w:rsidR="00B727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F38D71" w14:textId="45EC6F3F" w:rsidR="00B72706" w:rsidRDefault="00B72706" w:rsidP="006240B4">
            <w:pPr>
              <w:pStyle w:val="ListParagraph"/>
              <w:numPr>
                <w:ilvl w:val="0"/>
                <w:numId w:val="26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Council will establish a page on its Website to </w:t>
            </w:r>
            <w:r w:rsidR="003B6632">
              <w:rPr>
                <w:rFonts w:ascii="Arial" w:hAnsi="Arial" w:cs="Arial"/>
                <w:sz w:val="24"/>
                <w:szCs w:val="24"/>
              </w:rPr>
              <w:t xml:space="preserve">the Environment, </w:t>
            </w:r>
            <w:r>
              <w:rPr>
                <w:rFonts w:ascii="Arial" w:hAnsi="Arial" w:cs="Arial"/>
                <w:sz w:val="24"/>
                <w:szCs w:val="24"/>
              </w:rPr>
              <w:t>Bio-</w:t>
            </w:r>
            <w:r w:rsidR="003C097F">
              <w:rPr>
                <w:rFonts w:ascii="Arial" w:hAnsi="Arial" w:cs="Arial"/>
                <w:sz w:val="24"/>
                <w:szCs w:val="24"/>
              </w:rPr>
              <w:t>Diversity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3C097F">
              <w:rPr>
                <w:rFonts w:ascii="Arial" w:hAnsi="Arial" w:cs="Arial"/>
                <w:sz w:val="24"/>
                <w:szCs w:val="24"/>
              </w:rPr>
              <w:t>Resilience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Eco-systems</w:t>
            </w:r>
          </w:p>
          <w:p w14:paraId="45DB1C16" w14:textId="709417F7" w:rsidR="003C097F" w:rsidRDefault="003C097F" w:rsidP="006240B4">
            <w:pPr>
              <w:pStyle w:val="ListParagraph"/>
              <w:numPr>
                <w:ilvl w:val="0"/>
                <w:numId w:val="26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will review its work in this area within its Annual Report each May.</w:t>
            </w:r>
          </w:p>
          <w:p w14:paraId="7C378639" w14:textId="04E076BD" w:rsidR="006240B4" w:rsidRPr="006240B4" w:rsidRDefault="006240B4" w:rsidP="006240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64E9656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6C8A5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B12FE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20072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FB93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3E632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D3C68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D4E8A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6691E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6F6E16" w14:textId="77777777" w:rsidR="003B6632" w:rsidRDefault="003B6632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72089" w14:textId="29978FAB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to organise a follow-up meeting in 2024.</w:t>
            </w:r>
          </w:p>
          <w:p w14:paraId="0604C38F" w14:textId="77777777" w:rsidR="003B6632" w:rsidRDefault="003B6632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18B3D" w14:textId="1A749855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  <w:p w14:paraId="52B8A364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31118" w14:textId="77777777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53622" w14:textId="3BE45C66" w:rsidR="00AF3F49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3671AE" w14:paraId="4BC12B1E" w14:textId="77777777" w:rsidTr="006A501E">
        <w:trPr>
          <w:trHeight w:val="562"/>
        </w:trPr>
        <w:tc>
          <w:tcPr>
            <w:tcW w:w="2660" w:type="dxa"/>
          </w:tcPr>
          <w:p w14:paraId="01C1B2AE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</w:tc>
        <w:tc>
          <w:tcPr>
            <w:tcW w:w="4536" w:type="dxa"/>
          </w:tcPr>
          <w:p w14:paraId="7EF07C4C" w14:textId="73C9D406" w:rsidR="003671AE" w:rsidRPr="006240B4" w:rsidRDefault="006240B4" w:rsidP="006240B4">
            <w:pPr>
              <w:pStyle w:val="ListParagraph"/>
              <w:numPr>
                <w:ilvl w:val="0"/>
                <w:numId w:val="27"/>
              </w:numPr>
              <w:ind w:left="34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Resources Wales 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have committed to providing the Council with periodic data </w:t>
            </w:r>
            <w:r w:rsidR="003C097F">
              <w:rPr>
                <w:rFonts w:ascii="Arial" w:hAnsi="Arial" w:cs="Arial"/>
                <w:sz w:val="24"/>
                <w:szCs w:val="24"/>
              </w:rPr>
              <w:t>detailing the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 impact of their work along the Afon </w:t>
            </w:r>
            <w:r w:rsidR="003C097F">
              <w:rPr>
                <w:rFonts w:ascii="Arial" w:hAnsi="Arial" w:cs="Arial"/>
                <w:sz w:val="24"/>
                <w:szCs w:val="24"/>
              </w:rPr>
              <w:t>Ceiriog</w:t>
            </w:r>
            <w:r w:rsidR="003B6632">
              <w:rPr>
                <w:rFonts w:ascii="Arial" w:hAnsi="Arial" w:cs="Arial"/>
                <w:sz w:val="24"/>
                <w:szCs w:val="24"/>
              </w:rPr>
              <w:t>.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632">
              <w:rPr>
                <w:rFonts w:ascii="Arial" w:hAnsi="Arial" w:cs="Arial"/>
                <w:sz w:val="24"/>
                <w:szCs w:val="24"/>
              </w:rPr>
              <w:t>T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C097F">
              <w:rPr>
                <w:rFonts w:ascii="Arial" w:hAnsi="Arial" w:cs="Arial"/>
                <w:sz w:val="24"/>
                <w:szCs w:val="24"/>
              </w:rPr>
              <w:t>Council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 will ensure that this information is</w:t>
            </w:r>
            <w:r w:rsidR="003B6632">
              <w:rPr>
                <w:rFonts w:ascii="Arial" w:hAnsi="Arial" w:cs="Arial"/>
                <w:sz w:val="24"/>
                <w:szCs w:val="24"/>
              </w:rPr>
              <w:t xml:space="preserve"> made available through meetings, Minutes and</w:t>
            </w:r>
            <w:r w:rsidR="00B72706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3B6632">
              <w:rPr>
                <w:rFonts w:ascii="Arial" w:hAnsi="Arial" w:cs="Arial"/>
                <w:sz w:val="24"/>
                <w:szCs w:val="24"/>
              </w:rPr>
              <w:t>its</w:t>
            </w:r>
            <w:r w:rsidR="003C09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632">
              <w:rPr>
                <w:rFonts w:ascii="Arial" w:hAnsi="Arial" w:cs="Arial"/>
                <w:sz w:val="24"/>
                <w:szCs w:val="24"/>
              </w:rPr>
              <w:t xml:space="preserve">Website for </w:t>
            </w:r>
            <w:r w:rsidR="003C097F">
              <w:rPr>
                <w:rFonts w:ascii="Arial" w:hAnsi="Arial" w:cs="Arial"/>
                <w:sz w:val="24"/>
                <w:szCs w:val="24"/>
              </w:rPr>
              <w:t>residents within its administration</w:t>
            </w:r>
            <w:r w:rsidR="003B66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14:paraId="6ADD6D90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340BF7DC" w14:textId="77777777" w:rsidTr="006A501E">
        <w:trPr>
          <w:trHeight w:val="1046"/>
        </w:trPr>
        <w:tc>
          <w:tcPr>
            <w:tcW w:w="2660" w:type="dxa"/>
          </w:tcPr>
          <w:p w14:paraId="4C9FF6D6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4536" w:type="dxa"/>
          </w:tcPr>
          <w:p w14:paraId="27A14DC1" w14:textId="77777777" w:rsidR="003671AE" w:rsidRDefault="003C097F" w:rsidP="003C097F">
            <w:pPr>
              <w:pStyle w:val="ListParagraph"/>
              <w:numPr>
                <w:ilvl w:val="0"/>
                <w:numId w:val="27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will review its audit of the Graveyard and the Cemetery</w:t>
            </w:r>
          </w:p>
          <w:p w14:paraId="2FCD60E3" w14:textId="07FE0DA3" w:rsidR="003C0129" w:rsidRPr="003C097F" w:rsidRDefault="003C0129" w:rsidP="003C097F">
            <w:pPr>
              <w:pStyle w:val="ListParagraph"/>
              <w:numPr>
                <w:ilvl w:val="0"/>
                <w:numId w:val="27"/>
              </w:numPr>
              <w:ind w:left="349" w:hanging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develop a partnership with an expert in bird-ringing.</w:t>
            </w:r>
          </w:p>
        </w:tc>
        <w:tc>
          <w:tcPr>
            <w:tcW w:w="2131" w:type="dxa"/>
          </w:tcPr>
          <w:p w14:paraId="750AA294" w14:textId="4C814C3C" w:rsidR="003671AE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designated meeting will be assigned for this review.</w:t>
            </w:r>
          </w:p>
        </w:tc>
      </w:tr>
      <w:tr w:rsidR="003671AE" w14:paraId="1F46B7D6" w14:textId="77777777" w:rsidTr="006A501E">
        <w:trPr>
          <w:trHeight w:val="1001"/>
        </w:trPr>
        <w:tc>
          <w:tcPr>
            <w:tcW w:w="2660" w:type="dxa"/>
          </w:tcPr>
          <w:p w14:paraId="4A308292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lastRenderedPageBreak/>
              <w:t>-tackle negative factors: for e.g. reduce pollution, use nature based solutions, address invasive species</w:t>
            </w:r>
          </w:p>
        </w:tc>
        <w:tc>
          <w:tcPr>
            <w:tcW w:w="4536" w:type="dxa"/>
          </w:tcPr>
          <w:p w14:paraId="420DF81A" w14:textId="75E64E47" w:rsidR="003671AE" w:rsidRPr="003C097F" w:rsidRDefault="003C097F" w:rsidP="003C097F">
            <w:pPr>
              <w:pStyle w:val="ListParagraph"/>
              <w:numPr>
                <w:ilvl w:val="0"/>
                <w:numId w:val="27"/>
              </w:numPr>
              <w:ind w:left="34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Council has a duty to protect the </w:t>
            </w:r>
            <w:r w:rsidR="00AF3F49">
              <w:rPr>
                <w:rFonts w:ascii="Arial" w:hAnsi="Arial" w:cs="Arial"/>
                <w:sz w:val="24"/>
                <w:szCs w:val="24"/>
              </w:rPr>
              <w:t>environment through its representations to Wrexham CBC Planning. All new planning applications are scrutinised</w:t>
            </w:r>
            <w:r w:rsidR="00CB1B5B">
              <w:rPr>
                <w:rFonts w:ascii="Arial" w:hAnsi="Arial" w:cs="Arial"/>
                <w:sz w:val="24"/>
                <w:szCs w:val="24"/>
              </w:rPr>
              <w:t xml:space="preserve"> for their impact upon the environment</w:t>
            </w:r>
            <w:r w:rsidR="00AF3F49">
              <w:rPr>
                <w:rFonts w:ascii="Arial" w:hAnsi="Arial" w:cs="Arial"/>
                <w:sz w:val="24"/>
                <w:szCs w:val="24"/>
              </w:rPr>
              <w:t xml:space="preserve"> and where appropriate</w:t>
            </w:r>
            <w:r w:rsidR="00CB1B5B">
              <w:rPr>
                <w:rFonts w:ascii="Arial" w:hAnsi="Arial" w:cs="Arial"/>
                <w:sz w:val="24"/>
                <w:szCs w:val="24"/>
              </w:rPr>
              <w:t>,</w:t>
            </w:r>
            <w:r w:rsidR="00AF3F49">
              <w:rPr>
                <w:rFonts w:ascii="Arial" w:hAnsi="Arial" w:cs="Arial"/>
                <w:sz w:val="24"/>
                <w:szCs w:val="24"/>
              </w:rPr>
              <w:t xml:space="preserve"> objections raised.</w:t>
            </w:r>
          </w:p>
        </w:tc>
        <w:tc>
          <w:tcPr>
            <w:tcW w:w="2131" w:type="dxa"/>
          </w:tcPr>
          <w:p w14:paraId="2CF3C7DA" w14:textId="2D8753E0" w:rsidR="003671AE" w:rsidRDefault="00AF3F4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Meetings</w:t>
            </w:r>
          </w:p>
        </w:tc>
      </w:tr>
      <w:tr w:rsidR="003671AE" w14:paraId="278DC8AE" w14:textId="77777777" w:rsidTr="006A501E">
        <w:trPr>
          <w:trHeight w:val="598"/>
        </w:trPr>
        <w:tc>
          <w:tcPr>
            <w:tcW w:w="2660" w:type="dxa"/>
          </w:tcPr>
          <w:p w14:paraId="770744B6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536" w:type="dxa"/>
          </w:tcPr>
          <w:p w14:paraId="6CE3EE41" w14:textId="3A2B4F6A" w:rsidR="003671AE" w:rsidRPr="00AF3F49" w:rsidRDefault="00AF3F49" w:rsidP="00AF3F49">
            <w:pPr>
              <w:pStyle w:val="ListParagraph"/>
              <w:numPr>
                <w:ilvl w:val="0"/>
                <w:numId w:val="27"/>
              </w:numPr>
              <w:ind w:left="34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will work with relevant partners to best determine the most effective presentation of data and evidence.</w:t>
            </w:r>
          </w:p>
        </w:tc>
        <w:tc>
          <w:tcPr>
            <w:tcW w:w="2131" w:type="dxa"/>
          </w:tcPr>
          <w:p w14:paraId="7F38226E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20BFEEC6" w14:textId="77777777" w:rsidTr="006A501E">
        <w:trPr>
          <w:trHeight w:val="572"/>
        </w:trPr>
        <w:tc>
          <w:tcPr>
            <w:tcW w:w="2660" w:type="dxa"/>
          </w:tcPr>
          <w:p w14:paraId="0558724A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536" w:type="dxa"/>
          </w:tcPr>
          <w:p w14:paraId="77E17FF2" w14:textId="77777777" w:rsidR="003C097F" w:rsidRDefault="003C097F" w:rsidP="003C097F">
            <w:pPr>
              <w:pStyle w:val="ListParagraph"/>
              <w:numPr>
                <w:ilvl w:val="0"/>
                <w:numId w:val="27"/>
              </w:numPr>
              <w:ind w:left="349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is committed to working with principal partners:</w:t>
            </w:r>
          </w:p>
          <w:p w14:paraId="55D70F55" w14:textId="47226860" w:rsidR="003C097F" w:rsidRDefault="003C097F" w:rsidP="003C097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Wrexham Environmental Services;</w:t>
            </w:r>
          </w:p>
          <w:p w14:paraId="0E0B034B" w14:textId="3CAB4820" w:rsidR="003C097F" w:rsidRDefault="003C097F" w:rsidP="003C097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Asaph Diocese</w:t>
            </w:r>
          </w:p>
          <w:p w14:paraId="11FAD64F" w14:textId="43DA85E9" w:rsidR="003C097F" w:rsidRDefault="003C097F" w:rsidP="003C097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Landowners</w:t>
            </w:r>
          </w:p>
          <w:p w14:paraId="3150255F" w14:textId="2C985AE2" w:rsidR="003C097F" w:rsidRDefault="003C097F" w:rsidP="003C097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Chirk Estate</w:t>
            </w:r>
          </w:p>
          <w:p w14:paraId="2D252167" w14:textId="71B55DA9" w:rsidR="003671AE" w:rsidRPr="003C097F" w:rsidRDefault="003C097F" w:rsidP="003C097F">
            <w:pPr>
              <w:pStyle w:val="ListParagraph"/>
              <w:ind w:left="3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047F3FD1" w14:textId="77777777" w:rsidR="003671AE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2F4FBDE5" w14:textId="77777777" w:rsidTr="006A501E">
        <w:tc>
          <w:tcPr>
            <w:tcW w:w="9322" w:type="dxa"/>
          </w:tcPr>
          <w:p w14:paraId="7E37DE18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D7CF" w14:textId="77777777" w:rsidR="003671AE" w:rsidRDefault="003671AE" w:rsidP="00CB1B5B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Review of s6 duty</w:t>
            </w:r>
          </w:p>
          <w:p w14:paraId="60B8DEFF" w14:textId="616BE597" w:rsidR="00CB1B5B" w:rsidRPr="002D7E92" w:rsidRDefault="00CB1B5B" w:rsidP="0010373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This represents an inaugural report. It will be reviewed in February 2024</w:t>
            </w:r>
          </w:p>
        </w:tc>
      </w:tr>
      <w:tr w:rsidR="003671AE" w:rsidRPr="002D7E92" w14:paraId="0F62945D" w14:textId="77777777" w:rsidTr="006A501E">
        <w:tc>
          <w:tcPr>
            <w:tcW w:w="9322" w:type="dxa"/>
          </w:tcPr>
          <w:p w14:paraId="34A1673A" w14:textId="1EE73018" w:rsidR="003671A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1F589" w14:textId="7B2B42F0" w:rsidR="003671AE" w:rsidRDefault="00CB1B5B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B3E7B9" wp14:editId="662ACFA0">
                  <wp:extent cx="5664200" cy="3361055"/>
                  <wp:effectExtent l="0" t="0" r="0" b="0"/>
                  <wp:docPr id="2" name="Picture 2" descr="A circular walk of around 7 miles based in Llanarmon Dyffryn Ceiri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ircular walk of around 7 miles based in Llanarmon Dyffryn Ceiri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893" cy="3361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C72E9" w14:textId="77777777" w:rsidR="00CB1B5B" w:rsidRDefault="00CB1B5B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55DF6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28023" w14:textId="77777777" w:rsidR="003671AE" w:rsidRPr="002D7E92" w:rsidRDefault="003671AE" w:rsidP="003671AE">
      <w:pPr>
        <w:rPr>
          <w:rFonts w:ascii="Arial" w:hAnsi="Arial" w:cs="Arial"/>
          <w:sz w:val="24"/>
          <w:szCs w:val="24"/>
        </w:rPr>
      </w:pPr>
    </w:p>
    <w:p w14:paraId="335A9C14" w14:textId="77777777" w:rsidR="003671AE" w:rsidRDefault="003671AE" w:rsidP="003671AE">
      <w:pPr>
        <w:rPr>
          <w:rFonts w:ascii="Arial" w:hAnsi="Arial" w:cs="Arial"/>
          <w:sz w:val="24"/>
          <w:szCs w:val="24"/>
        </w:rPr>
      </w:pPr>
    </w:p>
    <w:sectPr w:rsidR="003671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5A20" w14:textId="77777777" w:rsidR="00FE3B58" w:rsidRDefault="00FE3B58" w:rsidP="002D7E92">
      <w:pPr>
        <w:spacing w:after="0" w:line="240" w:lineRule="auto"/>
      </w:pPr>
      <w:r>
        <w:separator/>
      </w:r>
    </w:p>
  </w:endnote>
  <w:endnote w:type="continuationSeparator" w:id="0">
    <w:p w14:paraId="5EB5E28C" w14:textId="77777777" w:rsidR="00FE3B58" w:rsidRDefault="00FE3B58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27F0" w14:textId="77777777" w:rsidR="00C638B6" w:rsidRDefault="00C63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43D3" w14:textId="77777777" w:rsidR="00C638B6" w:rsidRDefault="00C63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AC03" w14:textId="77777777" w:rsidR="00C638B6" w:rsidRDefault="00C6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D768" w14:textId="77777777" w:rsidR="00FE3B58" w:rsidRDefault="00FE3B58" w:rsidP="002D7E92">
      <w:pPr>
        <w:spacing w:after="0" w:line="240" w:lineRule="auto"/>
      </w:pPr>
      <w:r>
        <w:separator/>
      </w:r>
    </w:p>
  </w:footnote>
  <w:footnote w:type="continuationSeparator" w:id="0">
    <w:p w14:paraId="50E5E687" w14:textId="77777777" w:rsidR="00FE3B58" w:rsidRDefault="00FE3B58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4C1D" w14:textId="77777777" w:rsidR="00C638B6" w:rsidRDefault="00C63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47B4" w14:textId="23C9E88F" w:rsidR="00C638B6" w:rsidRDefault="00C63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9796" w14:textId="77777777" w:rsidR="00C638B6" w:rsidRDefault="00C6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71C"/>
    <w:multiLevelType w:val="hybridMultilevel"/>
    <w:tmpl w:val="1844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A23A8"/>
    <w:multiLevelType w:val="hybridMultilevel"/>
    <w:tmpl w:val="4BD470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82421D"/>
    <w:multiLevelType w:val="hybridMultilevel"/>
    <w:tmpl w:val="315C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C7177"/>
    <w:multiLevelType w:val="hybridMultilevel"/>
    <w:tmpl w:val="53BE15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1400D3"/>
    <w:multiLevelType w:val="hybridMultilevel"/>
    <w:tmpl w:val="B0F66D3E"/>
    <w:lvl w:ilvl="0" w:tplc="08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A433B"/>
    <w:multiLevelType w:val="hybridMultilevel"/>
    <w:tmpl w:val="3C2A9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5"/>
  </w:num>
  <w:num w:numId="2" w16cid:durableId="1690180589">
    <w:abstractNumId w:val="17"/>
  </w:num>
  <w:num w:numId="3" w16cid:durableId="1040781506">
    <w:abstractNumId w:val="22"/>
  </w:num>
  <w:num w:numId="4" w16cid:durableId="2016374990">
    <w:abstractNumId w:val="18"/>
  </w:num>
  <w:num w:numId="5" w16cid:durableId="1542129171">
    <w:abstractNumId w:val="23"/>
  </w:num>
  <w:num w:numId="6" w16cid:durableId="621034754">
    <w:abstractNumId w:val="27"/>
  </w:num>
  <w:num w:numId="7" w16cid:durableId="1780030784">
    <w:abstractNumId w:val="26"/>
  </w:num>
  <w:num w:numId="8" w16cid:durableId="1703050919">
    <w:abstractNumId w:val="16"/>
  </w:num>
  <w:num w:numId="9" w16cid:durableId="634026373">
    <w:abstractNumId w:val="14"/>
  </w:num>
  <w:num w:numId="10" w16cid:durableId="129326261">
    <w:abstractNumId w:val="28"/>
  </w:num>
  <w:num w:numId="11" w16cid:durableId="1700013848">
    <w:abstractNumId w:val="24"/>
  </w:num>
  <w:num w:numId="12" w16cid:durableId="461777052">
    <w:abstractNumId w:val="20"/>
  </w:num>
  <w:num w:numId="13" w16cid:durableId="262346018">
    <w:abstractNumId w:val="4"/>
  </w:num>
  <w:num w:numId="14" w16cid:durableId="817722970">
    <w:abstractNumId w:val="21"/>
  </w:num>
  <w:num w:numId="15" w16cid:durableId="90055764">
    <w:abstractNumId w:val="2"/>
  </w:num>
  <w:num w:numId="16" w16cid:durableId="2136556278">
    <w:abstractNumId w:val="15"/>
  </w:num>
  <w:num w:numId="17" w16cid:durableId="1779445948">
    <w:abstractNumId w:val="9"/>
  </w:num>
  <w:num w:numId="18" w16cid:durableId="1315602178">
    <w:abstractNumId w:val="0"/>
  </w:num>
  <w:num w:numId="19" w16cid:durableId="1648051160">
    <w:abstractNumId w:val="12"/>
  </w:num>
  <w:num w:numId="20" w16cid:durableId="2098093982">
    <w:abstractNumId w:val="8"/>
  </w:num>
  <w:num w:numId="21" w16cid:durableId="1138111440">
    <w:abstractNumId w:val="29"/>
  </w:num>
  <w:num w:numId="22" w16cid:durableId="1933467516">
    <w:abstractNumId w:val="10"/>
  </w:num>
  <w:num w:numId="23" w16cid:durableId="1226140581">
    <w:abstractNumId w:val="3"/>
  </w:num>
  <w:num w:numId="24" w16cid:durableId="1120228207">
    <w:abstractNumId w:val="6"/>
  </w:num>
  <w:num w:numId="25" w16cid:durableId="888299432">
    <w:abstractNumId w:val="7"/>
  </w:num>
  <w:num w:numId="26" w16cid:durableId="1023289619">
    <w:abstractNumId w:val="1"/>
  </w:num>
  <w:num w:numId="27" w16cid:durableId="860825887">
    <w:abstractNumId w:val="11"/>
  </w:num>
  <w:num w:numId="28" w16cid:durableId="1958751426">
    <w:abstractNumId w:val="19"/>
  </w:num>
  <w:num w:numId="29" w16cid:durableId="1261907741">
    <w:abstractNumId w:val="5"/>
  </w:num>
  <w:num w:numId="30" w16cid:durableId="110978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16742"/>
    <w:rsid w:val="00075B9B"/>
    <w:rsid w:val="0010373A"/>
    <w:rsid w:val="002B3AAE"/>
    <w:rsid w:val="002D7E92"/>
    <w:rsid w:val="00334172"/>
    <w:rsid w:val="00340FE7"/>
    <w:rsid w:val="003671AE"/>
    <w:rsid w:val="003777CE"/>
    <w:rsid w:val="003A141E"/>
    <w:rsid w:val="003B6632"/>
    <w:rsid w:val="003C0129"/>
    <w:rsid w:val="003C097F"/>
    <w:rsid w:val="00404DAC"/>
    <w:rsid w:val="00455F2D"/>
    <w:rsid w:val="00590037"/>
    <w:rsid w:val="006240B4"/>
    <w:rsid w:val="00624908"/>
    <w:rsid w:val="00680183"/>
    <w:rsid w:val="006A78DB"/>
    <w:rsid w:val="00742A63"/>
    <w:rsid w:val="007E3F93"/>
    <w:rsid w:val="007F35D9"/>
    <w:rsid w:val="00873A37"/>
    <w:rsid w:val="00880C22"/>
    <w:rsid w:val="00880DAE"/>
    <w:rsid w:val="008E72A3"/>
    <w:rsid w:val="009C56C7"/>
    <w:rsid w:val="009F709A"/>
    <w:rsid w:val="00AA219C"/>
    <w:rsid w:val="00AF3F49"/>
    <w:rsid w:val="00B72706"/>
    <w:rsid w:val="00BC07EF"/>
    <w:rsid w:val="00C517B6"/>
    <w:rsid w:val="00C638B6"/>
    <w:rsid w:val="00C645DE"/>
    <w:rsid w:val="00CA4D14"/>
    <w:rsid w:val="00CB1B5B"/>
    <w:rsid w:val="00CC0900"/>
    <w:rsid w:val="00CD5F4E"/>
    <w:rsid w:val="00D06BB7"/>
    <w:rsid w:val="00D20325"/>
    <w:rsid w:val="00D673D9"/>
    <w:rsid w:val="00E31AF6"/>
    <w:rsid w:val="00E939A2"/>
    <w:rsid w:val="00EE4C51"/>
    <w:rsid w:val="00FE3B58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miles matile</cp:lastModifiedBy>
  <cp:revision>15</cp:revision>
  <cp:lastPrinted>2022-04-12T10:06:00Z</cp:lastPrinted>
  <dcterms:created xsi:type="dcterms:W3CDTF">2023-02-21T07:02:00Z</dcterms:created>
  <dcterms:modified xsi:type="dcterms:W3CDTF">2023-03-08T11:17:00Z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